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9F4695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VY_3.2._INOVACE_03_01</w:t>
            </w:r>
            <w:proofErr w:type="gramEnd"/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F469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Abeceda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F4695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9F469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F469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Procvičování abecedy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9F4695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9F4695" w:rsidRPr="009F4695" w:rsidRDefault="009F4695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Žáci na interaktivní tabuli procvičují znalost abecedy, postupně odkrývají nápovědu se správným řešením. Ř</w:t>
            </w:r>
            <w:r w:rsidR="00E72F42">
              <w:rPr>
                <w:rFonts w:cstheme="minorHAnsi"/>
                <w:bCs/>
                <w:sz w:val="24"/>
                <w:szCs w:val="24"/>
              </w:rPr>
              <w:t>adí písmena podle abecedy,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určují počáteční písmeno ve slovech a následně seřadí podle abecedy.</w:t>
            </w:r>
          </w:p>
          <w:p w:rsidR="009F4695" w:rsidRPr="006E55E2" w:rsidRDefault="009F4695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9F4695" w:rsidP="00F06169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9F4695" w:rsidRPr="009F4695" w:rsidRDefault="009F4695" w:rsidP="00F06169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E55E2"/>
    <w:rsid w:val="00756887"/>
    <w:rsid w:val="009637FF"/>
    <w:rsid w:val="009F4695"/>
    <w:rsid w:val="00C87429"/>
    <w:rsid w:val="00E72F42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2012-04-24T13:30:00Z</dcterms:created>
  <dcterms:modified xsi:type="dcterms:W3CDTF">2012-04-24T13:30:00Z</dcterms:modified>
</cp:coreProperties>
</file>